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DESCRIÇÃO DA FERRAMENTA</w:t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tividade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"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Pato a Pato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Porque cada traço revela mais do que pensamos</w:t>
            </w:r>
          </w:p>
        </w:tc>
      </w:tr>
    </w:tbl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6">
            <w:pPr>
              <w:spacing w:after="0" w:lineRule="auto"/>
              <w:jc w:val="both"/>
              <w:rPr>
                <w:b w:val="0"/>
                <w:bCs w:val="0"/>
                <w:vertAlign w:val="baseline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2)  OBJETIVOS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numPr>
                <w:ilvl w:val="0"/>
                <w:numId w:val="2"/>
              </w:numPr>
              <w:spacing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Incentivar a autoconsciência emocional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2"/>
              </w:numPr>
              <w:spacing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Tornar a diversidade visível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2"/>
              </w:numPr>
              <w:spacing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Gerar um espaço seguro para reflexão pessoal e exposição pública</w:t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B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3)  LIGAR A FERRAMENTA À COMPETÊNCIA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autoconsciência envolve reconhecer as nossas emoções, pensamentos e padrões. Desenhar um pato – uma figura simples e simbólica – permite-nos projetar aspectos internos sem os racionalizar.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 resultado é uma metáfora visual de como nos expressamos, como nos diferenciamos e como nos sentimos quando nos mostramos.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E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4)  RECURSOS MATERIAIS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numPr>
                <w:ilvl w:val="0"/>
                <w:numId w:val="4"/>
              </w:numPr>
              <w:spacing w:after="0" w:afterAutospacing="0" w:before="28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Folhas (uma por participante)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4"/>
              </w:numPr>
              <w:spacing w:after="0" w:afterAutospacing="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Canetas ou marcadores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4"/>
              </w:numPr>
              <w:spacing w:after="0" w:afterAutospacing="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Relógio ou cronómetro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4"/>
              </w:numPr>
              <w:spacing w:after="0" w:afterAutospacing="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Espaço para expor os desenhos (parede, mesa, chão)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4"/>
              </w:numPr>
              <w:spacing w:after="28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Música suave opcional para criar ambiente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vertAlign w:val="baseline"/>
                <w:rtl w:val="0"/>
              </w:rPr>
              <w:t xml:space="preserve">5)  COMO APLICAR 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3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Ele introduz a atividade com humor: "Hoje vamos desenhar patos. Mas não qualquer pato: o teu."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3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Marca o tempo com energia.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Orienta a reflexão com perguntas abertas, sem interpretar os desenhos.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720" w:right="0" w:hanging="72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Fecha com uma frase integradora: "Cada pato é diferente. Como nós. E está tudo bem."</w:t>
            </w:r>
          </w:p>
        </w:tc>
      </w:tr>
    </w:tbl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B">
            <w:pPr>
              <w:spacing w:after="0" w:lineRule="auto"/>
              <w:jc w:val="both"/>
              <w:rPr>
                <w:b w:val="0"/>
                <w:bCs w:val="0"/>
                <w:vertAlign w:val="baseline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6) 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O QUE APRENDER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a expressão emocional pode ser simples e poderosa.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não existe uma forma "certa" de ser ou sentir.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a diferença não separa, mas enriquece.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o brincar também pode ser uma ferramenta de transformação.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line="24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21">
            <w:pPr>
              <w:spacing w:after="0" w:lineRule="auto"/>
              <w:jc w:val="both"/>
              <w:rPr>
                <w:b w:val="0"/>
                <w:bCs w:val="0"/>
                <w:vertAlign w:val="baseline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7) 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MATERIAIS ADICIONAIS</w:t>
            </w: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 - LINKS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bCs w:val="0"/>
                  <w:i w:val="0"/>
                  <w:iCs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https://www.ted.com/talks/brene_brown_the_power_of_vulnerability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ab/>
      <w:tab/>
      <w:tab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3857625</wp:posOffset>
              </wp:positionH>
              <wp:positionV relativeFrom="paragraph">
                <wp:posOffset>-400049</wp:posOffset>
              </wp:positionV>
              <wp:extent cx="2487503" cy="94297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139500" y="3505375"/>
                        <a:ext cx="2763900" cy="549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Autoconsciência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3857625</wp:posOffset>
              </wp:positionH>
              <wp:positionV relativeFrom="paragraph">
                <wp:posOffset>-400049</wp:posOffset>
              </wp:positionV>
              <wp:extent cx="2487503" cy="942975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87503" cy="9429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descr="Logotipo&#10;&#10;El contenido generado por IA puede ser incorrecto" id="4" name="image3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72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72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72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7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7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72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72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72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72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72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7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7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72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720"/>
      </w:pPr>
      <w:rPr>
        <w:vertAlign w:val="baseli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ciónsinresolver">
    <w:name w:val="Mención sin resolver"/>
    <w:next w:val="Menciónsinresolver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ted.com/talks/brene_brown_the_power_of_vulnerability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4.png"/><Relationship Id="rId2" Type="http://schemas.openxmlformats.org/officeDocument/2006/relationships/image" Target="media/image17.jpg"/><Relationship Id="rId3" Type="http://schemas.openxmlformats.org/officeDocument/2006/relationships/image" Target="media/image10.png"/><Relationship Id="rId4" Type="http://schemas.openxmlformats.org/officeDocument/2006/relationships/image" Target="media/image8.png"/><Relationship Id="rId5" Type="http://schemas.openxmlformats.org/officeDocument/2006/relationships/image" Target="media/image13.png"/><Relationship Id="rId6" Type="http://schemas.openxmlformats.org/officeDocument/2006/relationships/image" Target="media/image11.jpg"/><Relationship Id="rId7" Type="http://schemas.openxmlformats.org/officeDocument/2006/relationships/image" Target="media/image4.png"/><Relationship Id="rId8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z5uefcnkA5yUhs3i5uNYx0FQrQ==">CgMxLjA4AHIhMVZaRzVCWlg0cDBNMDF5SFlydXg0WDNrMlk2Tl9Rd3JI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2025-11-06T10:40:00Z</dcterms:created>
  <dc:creator>I and F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